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5C5B55" w:rsidRDefault="009413DA" w:rsidP="005C5B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C5B55" w:rsidRPr="005F56DC" w:rsidRDefault="005C5B55" w:rsidP="005C5B55"/>
    <w:p w:rsidR="004370E5" w:rsidRPr="004370E5" w:rsidRDefault="004370E5" w:rsidP="004370E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370E5">
        <w:rPr>
          <w:b/>
          <w:bCs/>
          <w:color w:val="333333"/>
          <w:sz w:val="28"/>
          <w:szCs w:val="28"/>
        </w:rPr>
        <w:t>Уголовная ответственность за подкуп работников, организующих государственные и муниципальные закупки</w:t>
      </w:r>
    </w:p>
    <w:bookmarkEnd w:id="0"/>
    <w:p w:rsidR="004370E5" w:rsidRPr="004370E5" w:rsidRDefault="004370E5" w:rsidP="004370E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370E5">
        <w:rPr>
          <w:color w:val="000000"/>
          <w:sz w:val="28"/>
          <w:szCs w:val="28"/>
        </w:rPr>
        <w:t> </w:t>
      </w:r>
      <w:r w:rsidRPr="004370E5">
        <w:rPr>
          <w:color w:val="FFFFFF"/>
          <w:sz w:val="28"/>
          <w:szCs w:val="28"/>
        </w:rPr>
        <w:t>Текст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Федеральным законом от 23.04.2018 № 99-ФЗ в Уголовный кодекс Российской Федерации (далее – УК РФ) введена статья 200.5 УК РФ, которая предусматривает ответственность за подкуп работника контрактной службы, контрактного управляющего, члена комиссии по осуществлению закупок.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К уголовной ответственности за данное преступление привлекаются как лица, передающие незаконное вознаграждение, так и лица, его получающие.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Получателями незаконного вознаграждения в данном случае являются лица, хотя и не относящиеся к категории должностных, но непосредственно участвующие в организации закупок. Например, в составлении конкурсной документации, организации электронных аукционов или проверке предоставляемых товаров (работ, услуг) перед подписанием уполномоченным должностным лицом соответствующих актов об их приеме.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370E5" w:rsidRPr="004370E5" w:rsidRDefault="004370E5" w:rsidP="004370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370E5">
        <w:rPr>
          <w:color w:val="333333"/>
          <w:sz w:val="28"/>
          <w:szCs w:val="28"/>
          <w:shd w:val="clear" w:color="auto" w:fill="FFFFFF"/>
        </w:rPr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:rsidR="009413DA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603A5" w:rsidRPr="00670921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F7DB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2024-06-19T13:13:00Z</dcterms:created>
  <dcterms:modified xsi:type="dcterms:W3CDTF">2024-06-19T13:13:00Z</dcterms:modified>
</cp:coreProperties>
</file>